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Purchase Order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1038329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Chislett Farms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833 Kenley Road, Kenley VIC 3597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MODE Logistics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Warehouse 1, 70-74 Sky Road, Melbourne Airport VIC 3045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As soon as possible: please reply with your earliest delivery date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20,160.00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22,400.00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1038329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416"/>
        <w:gridCol w:w="960"/>
        <w:gridCol w:w="700"/>
        <w:gridCol w:w="800"/>
        <w:gridCol w:w="70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1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41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Afourer mandarin, composite grade, carton 9 kg net and 10 kg gross: 2,240 cartons, a full 40-foot container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13.50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30,240.00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</w:t>
            </w:r>
          </w:p>
        </w:tc>
        <w:tc>
          <w:tcPr>
            <w:tcW w:type="dxa" w:w="241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Transport from the farm to MODE Logistics, as advised by Chislett Farms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1.17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2,620.80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32,860.80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CHEP Pallet Transfer — REQUIRED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Transfer CHEP balance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Logistics (the freight forwarder receiving these goods)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CHEP Account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to advise on delivery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Date of dispatch from your premises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0"/>
          <w:szCs w:val="20"/>
        </w:rPr>
        <w:t xml:space="preserve">Carter &amp; Associates does NOT receive CHEP transfers for this consignment. Please transfer pallet balance directly to the freight forwarder identified above on dispatch. Recording a CHEP transfer to Carter &amp; Associates will require reversal and may delay processing of your supplier invoice.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