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t xml:space="preserve"/>
      </w:r>
    </w:p>
    <w:p>
      <w:pPr>
        <w:pStyle w:val="Heading1"/>
        <w:spacing w:after="80"/>
      </w:pPr>
      <w:r>
        <w:rPr>
          <w:rFonts w:ascii="Avenir" w:cs="Avenir" w:eastAsia="Avenir" w:hAnsi="Avenir"/>
          <w:sz w:val="22"/>
          <w:szCs w:val="22"/>
        </w:rPr>
        <w:t xml:space="preserve">Commercial Invoice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Invoice Number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1038335</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Invoice Date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2026-10-04</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Trade Reference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1038335</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Currency</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Incoterms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CFR Kuala Lumpur</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Payment Terms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100% 7 days after arrival</w:t>
            </w:r>
          </w:p>
        </w:tc>
      </w:tr>
    </w:tbl>
    <w:p>
      <w:pPr>
        <w:spacing w:after="160"/>
      </w:pPr>
      <w:r>
        <w:t xml:space="preserve"/>
      </w:r>
    </w:p>
    <w:p>
      <w:pPr>
        <w:pStyle w:val="Heading3"/>
        <w:spacing w:after="80"/>
      </w:pPr>
      <w:r>
        <w:rPr>
          <w:rFonts w:ascii="Avenir" w:cs="Avenir" w:eastAsia="Avenir" w:hAnsi="Avenir"/>
          <w:sz w:val="22"/>
          <w:szCs w:val="22"/>
        </w:rPr>
        <w:t xml:space="preserve">Seller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Legal 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QC-Fresh Pty Ltd</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Trading As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Carter &amp; Associates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ABN</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92 095 191 816</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17 Queens Road, Clayfield QLD 4011</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exports@carterandassoc.com.au | </w:t>
            </w:r>
          </w:p>
        </w:tc>
      </w:tr>
    </w:tbl>
    <w:p>
      <w:pPr>
        <w:spacing w:after="120"/>
      </w:pPr>
      <w:r>
        <w:t xml:space="preserve"/>
      </w:r>
    </w:p>
    <w:p>
      <w:pPr>
        <w:pStyle w:val="Heading3"/>
        <w:spacing w:after="80"/>
      </w:pPr>
      <w:r>
        <w:rPr>
          <w:rFonts w:ascii="Avenir" w:cs="Avenir" w:eastAsia="Avenir" w:hAnsi="Avenir"/>
          <w:sz w:val="22"/>
          <w:szCs w:val="22"/>
        </w:rPr>
        <w:t xml:space="preserve">Buyer / Consignee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Legal 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MK FRUITS STORE PLT</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54 Jalan Yew, Pasar Baru Pudu, Kuala Lumpur 55100, Malaysia. Tel: +60122310433</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Country</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Malaysia</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bl>
    <w:p>
      <w:pPr>
        <w:spacing w:after="120"/>
      </w:pPr>
      <w:r>
        <w:t xml:space="preserve"/>
      </w:r>
    </w:p>
    <w:p>
      <w:pPr>
        <w:pStyle w:val="Heading3"/>
        <w:spacing w:after="80"/>
      </w:pPr>
      <w:r>
        <w:rPr>
          <w:rFonts w:ascii="Avenir" w:cs="Avenir" w:eastAsia="Avenir" w:hAnsi="Avenir"/>
          <w:sz w:val="22"/>
          <w:szCs w:val="22"/>
        </w:rPr>
        <w:t xml:space="preserve">Notify Party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Name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Address</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Contact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
            </w:r>
          </w:p>
        </w:tc>
      </w:tr>
    </w:tbl>
    <w:p>
      <w:pPr>
        <w:spacing w:after="160"/>
      </w:pPr>
      <w:r>
        <w:t xml:space="preserve"/>
      </w:r>
    </w:p>
    <w:p>
      <w:pPr>
        <w:pStyle w:val="Heading3"/>
        <w:spacing w:after="80"/>
      </w:pPr>
      <w:r>
        <w:rPr>
          <w:rFonts w:ascii="Avenir" w:cs="Avenir" w:eastAsia="Avenir" w:hAnsi="Avenir"/>
          <w:sz w:val="22"/>
          <w:szCs w:val="22"/>
        </w:rPr>
        <w:t xml:space="preserve">Shipment Details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Origin Port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PER</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Destination Port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KUL</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Freight Mode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AIR</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Carrier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Malaysia Airlines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Flight / Voyage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MH126</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AWB / B/L Number</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232-58875202</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ETD</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2026-10-04</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ETA</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2026-10-04</w:t>
            </w:r>
          </w:p>
        </w:tc>
      </w:tr>
    </w:tbl>
    <w:p>
      <w:pPr>
        <w:spacing w:after="160"/>
      </w:pPr>
      <w:r>
        <w:t xml:space="preserve"/>
      </w:r>
    </w:p>
    <w:p>
      <w:pPr>
        <w:pStyle w:val="Heading3"/>
        <w:spacing w:after="80"/>
      </w:pPr>
      <w:r>
        <w:rPr>
          <w:rFonts w:ascii="Avenir" w:cs="Avenir" w:eastAsia="Avenir" w:hAnsi="Avenir"/>
          <w:sz w:val="22"/>
          <w:szCs w:val="22"/>
        </w:rPr>
        <w:t xml:space="preserve">Goods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4426"/>
        <w:gridCol w:w="800"/>
        <w:gridCol w:w="1000"/>
        <w:gridCol w:w="1000"/>
        <w:gridCol w:w="1000"/>
        <w:gridCol w:w="1000"/>
        <w:gridCol w:w="1200"/>
        <w:gridCol w:w="1200"/>
      </w:tblGrid>
      <w:tr>
        <w:trPr>
          <w:tblHeader/>
        </w:trPr>
        <w:tc>
          <w:tcPr>
            <w:tcW w:type="dxa" w:w="6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w:t>
            </w:r>
          </w:p>
        </w:tc>
        <w:tc>
          <w:tcPr>
            <w:tcW w:type="dxa" w:w="4426"/>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Product Description</w:t>
            </w:r>
          </w:p>
        </w:tc>
        <w:tc>
          <w:tcPr>
            <w:tcW w:type="dxa" w:w="8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Qty</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Unit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Net/unit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Total net</w:t>
            </w:r>
          </w:p>
        </w:tc>
        <w:tc>
          <w:tcPr>
            <w:tcW w:type="dxa" w:w="1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Unit Price</w:t>
            </w:r>
          </w:p>
        </w:tc>
        <w:tc>
          <w:tcPr>
            <w:tcW w:type="dxa" w:w="12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Total</w:t>
            </w:r>
          </w:p>
        </w:tc>
        <w:tc>
          <w:tcPr>
            <w:tcW w:type="dxa" w:w="12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HS Code</w:t>
            </w:r>
          </w:p>
        </w:tc>
      </w:tr>
      <w:tr>
        <w:tc>
          <w:tcPr>
            <w:tcW w:type="dxa" w:w="6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w:t>
            </w:r>
          </w:p>
        </w:tc>
        <w:tc>
          <w:tcPr>
            <w:tcW w:type="dxa" w:w="44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Strawberries</w:t>
            </w:r>
          </w:p>
        </w:tc>
        <w:tc>
          <w:tcPr>
            <w:tcW w:type="dxa" w:w="8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192</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TRAY</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3.75 kg</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720.00 kg</w:t>
            </w:r>
          </w:p>
        </w:tc>
        <w:tc>
          <w:tcPr>
            <w:tcW w:type="dxa" w:w="1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48.50</w:t>
            </w:r>
          </w:p>
        </w:tc>
        <w:tc>
          <w:tcPr>
            <w:tcW w:type="dxa" w:w="12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9,312.00</w:t>
            </w:r>
          </w:p>
        </w:tc>
        <w:tc>
          <w:tcPr>
            <w:tcW w:type="dxa" w:w="12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081010</w:t>
            </w:r>
          </w:p>
        </w:tc>
      </w:tr>
    </w:tbl>
    <w:p>
      <w:pPr>
        <w:spacing w:after="12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0"/>
        <w:gridCol w:w="2026"/>
      </w:tblGrid>
      <w:tr>
        <w:trPr>
          <w:tblHeader/>
        </w:trPr>
        <w:tc>
          <w:tcPr>
            <w:tcW w:type="dxa" w:w="7000"/>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
            </w:r>
          </w:p>
        </w:tc>
        <w:tc>
          <w:tcPr>
            <w:tcW w:type="dxa" w:w="2026"/>
            <w:tcBorders>
              <w:top w:val="single" w:color="CCCCCC" w:sz="4"/>
              <w:left w:val="single" w:color="CCCCCC" w:sz="4"/>
              <w:bottom w:val="single" w:color="CCCCCC" w:sz="4"/>
              <w:right w:val="single" w:color="CCCCCC" w:sz="4"/>
            </w:tcBorders>
            <w:shd w:fill="016D39" w:val="clear"/>
            <w:tcMar>
              <w:top w:type="dxa" w:w="100"/>
              <w:left w:type="dxa" w:w="120"/>
              <w:bottom w:type="dxa" w:w="100"/>
              <w:right w:type="dxa" w:w="120"/>
            </w:tcMar>
          </w:tcPr>
          <w:p>
            <w:r>
              <w:rPr>
                <w:rFonts w:ascii="Avenir" w:cs="Avenir" w:eastAsia="Avenir" w:hAnsi="Avenir"/>
                <w:b/>
                <w:bCs/>
                <w:color w:val="FFFFFF"/>
                <w:sz w:val="20"/>
                <w:szCs w:val="20"/>
              </w:rPr>
              <w:t xml:space="preserve">Amount</w:t>
            </w:r>
          </w:p>
        </w:tc>
      </w:tr>
      <w:tr>
        <w:tc>
          <w:tcPr>
            <w:tcW w:type="dxa" w:w="7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Subtotal</w:t>
            </w:r>
          </w:p>
        </w:tc>
        <w:tc>
          <w:tcPr>
            <w:tcW w:type="dxa" w:w="2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9,312.00</w:t>
            </w:r>
          </w:p>
        </w:tc>
      </w:tr>
      <w:tr>
        <w:tc>
          <w:tcPr>
            <w:tcW w:type="dxa" w:w="7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Freight (per Incoterms)</w:t>
            </w:r>
          </w:p>
        </w:tc>
        <w:tc>
          <w:tcPr>
            <w:tcW w:type="dxa" w:w="2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Included in the price (CFR)</w:t>
            </w:r>
          </w:p>
        </w:tc>
      </w:tr>
      <w:tr>
        <w:tc>
          <w:tcPr>
            <w:tcW w:type="dxa" w:w="7000"/>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Total Invoice Value</w:t>
            </w:r>
          </w:p>
        </w:tc>
        <w:tc>
          <w:tcPr>
            <w:tcW w:type="dxa" w:w="2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AUD 9,312.00</w:t>
            </w:r>
          </w:p>
        </w:tc>
      </w:tr>
    </w:tbl>
    <w:p>
      <w:pPr>
        <w:spacing w:after="160"/>
      </w:pPr>
      <w:r>
        <w:t xml:space="preserve"/>
      </w:r>
    </w:p>
    <w:p>
      <w:pPr>
        <w:pStyle w:val="Heading3"/>
        <w:spacing w:after="80"/>
      </w:pPr>
      <w:r>
        <w:rPr>
          <w:rFonts w:ascii="Avenir" w:cs="Avenir" w:eastAsia="Avenir" w:hAnsi="Avenir"/>
          <w:sz w:val="22"/>
          <w:szCs w:val="22"/>
        </w:rPr>
        <w:t xml:space="preserve">Weight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Net Weight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720.00 kg</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Gross Weight (Dispatch)</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960.00 kg</w:t>
            </w:r>
          </w:p>
        </w:tc>
      </w:tr>
    </w:tbl>
    <w:p>
      <w:pPr>
        <w:spacing w:after="200"/>
      </w:pPr>
      <w:r>
        <w:t xml:space="preserve"/>
      </w:r>
    </w:p>
    <w:p>
      <w:pPr>
        <w:spacing w:after="80"/>
      </w:pPr>
      <w:r>
        <w:rPr>
          <w:rFonts w:ascii="Avenir" w:cs="Avenir" w:eastAsia="Avenir" w:hAnsi="Avenir"/>
          <w:b/>
          <w:bCs/>
          <w:color w:val="016D39"/>
          <w:sz w:val="24"/>
          <w:szCs w:val="24"/>
        </w:rPr>
        <w:t xml:space="preserve">PRICING TERMS — WEIGHT BASIS</w:t>
      </w:r>
    </w:p>
    <w:p>
      <w:pPr>
        <w:spacing w:after="60"/>
      </w:pPr>
      <w:r>
        <w:t xml:space="preserve"/>
      </w:r>
    </w:p>
    <w:p>
      <w:pPr>
        <w:spacing w:after="80"/>
      </w:pPr>
      <w:r>
        <w:rPr>
          <w:rFonts w:ascii="Avenir" w:cs="Avenir" w:eastAsia="Avenir" w:hAnsi="Avenir"/>
          <w:sz w:val="20"/>
          <w:szCs w:val="20"/>
        </w:rPr>
        <w:t xml:space="preserve">Pricing under this invoice is based on the weight of goods at point of dispatch from origin (i.e. weight recorded by the freight forwarder at the loading port, evidenced by the freight forwarder's weight certificate issued contemporaneously with dispatch). Any natural weight variation during transit (including but not limited to moisture loss, particularly on long-haul shipments to the Middle East and other distant destinations) is at the buyer's risk and shall not constitute grounds for short-payment, claim, or dispute. Weight verification on arrival is for the buyer's internal QC purposes only and does not affect the contractual price set out in this invoice.</w:t>
      </w:r>
    </w:p>
    <w:p>
      <w:pPr>
        <w:spacing w:after="200"/>
      </w:pPr>
      <w:r>
        <w:t xml:space="preserve"/>
      </w:r>
    </w:p>
    <w:p>
      <w:pPr>
        <w:spacing w:after="80"/>
      </w:pPr>
      <w:r>
        <w:rPr>
          <w:rFonts w:ascii="Avenir" w:cs="Avenir" w:eastAsia="Avenir" w:hAnsi="Avenir"/>
          <w:b/>
          <w:bCs/>
          <w:color w:val="016D39"/>
          <w:sz w:val="24"/>
          <w:szCs w:val="24"/>
        </w:rPr>
        <w:t xml:space="preserve">Bank Details for Payment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Bank</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Bank of Sydney</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BSB</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942 301</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Account</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2124642</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SWIFT/BIC</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LIKIAU2S</w:t>
            </w:r>
          </w:p>
        </w:tc>
      </w:tr>
      <w:tr>
        <w:tc>
          <w:tcPr>
            <w:tcW w:type="dxa" w:w="3000"/>
            <w:tcBorders>
              <w:top w:val="single" w:color="CCCCCC" w:sz="4"/>
              <w:left w:val="single" w:color="CCCCCC" w:sz="4"/>
              <w:bottom w:val="single" w:color="CCCCCC" w:sz="4"/>
              <w:right w:val="single" w:color="CCCCCC" w:sz="4"/>
            </w:tcBorders>
            <w:shd w:fill="F0F0F0" w:val="clear"/>
            <w:tcMar>
              <w:top w:type="dxa" w:w="80"/>
              <w:left w:type="dxa" w:w="120"/>
              <w:bottom w:type="dxa" w:w="80"/>
              <w:right w:type="dxa" w:w="120"/>
            </w:tcMar>
          </w:tcPr>
          <w:p>
            <w:r>
              <w:rPr>
                <w:rFonts w:ascii="Avenir" w:cs="Avenir" w:eastAsia="Avenir" w:hAnsi="Avenir"/>
                <w:b/>
                <w:bCs/>
                <w:sz w:val="20"/>
                <w:szCs w:val="20"/>
              </w:rPr>
              <w:t xml:space="preserve">Reference</w:t>
            </w:r>
          </w:p>
        </w:tc>
        <w:tc>
          <w:tcPr>
            <w:tcW w:type="dxa" w:w="6026"/>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rFonts w:ascii="Avenir" w:cs="Avenir" w:eastAsia="Avenir" w:hAnsi="Avenir"/>
                <w:sz w:val="20"/>
                <w:szCs w:val="20"/>
              </w:rPr>
              <w:t xml:space="preserve">Commercial Invoice 1038335</w:t>
            </w:r>
          </w:p>
        </w:tc>
      </w:tr>
    </w:tbl>
    <w:p>
      <w:pPr>
        <w:spacing w:after="200"/>
      </w:pPr>
      <w:r>
        <w:t xml:space="preserve"/>
      </w:r>
    </w:p>
    <w:p>
      <w:pPr>
        <w:spacing w:after="80"/>
      </w:pPr>
      <w:r>
        <w:rPr>
          <w:rFonts w:ascii="Avenir" w:cs="Avenir" w:eastAsia="Avenir" w:hAnsi="Avenir"/>
          <w:i/>
          <w:iCs/>
          <w:sz w:val="22"/>
          <w:szCs w:val="22"/>
        </w:rPr>
        <w:t xml:space="preserve">For and on behalf of Carter &amp; Associates</w:t>
      </w:r>
    </w:p>
    <w:p>
      <w:pPr>
        <w:spacing w:after="160"/>
      </w:pPr>
      <w:r>
        <w:t xml:space="preserve"/>
      </w:r>
    </w:p>
    <w:p>
      <w:pPr>
        <w:spacing w:after="80"/>
      </w:pPr>
      <w:r>
        <w:rPr>
          <w:rFonts w:ascii="Avenir" w:cs="Avenir" w:eastAsia="Avenir" w:hAnsi="Avenir"/>
          <w:sz w:val="22"/>
          <w:szCs w:val="22"/>
        </w:rPr>
        <w:t xml:space="preserve">_____________________________</w:t>
      </w:r>
    </w:p>
    <w:p>
      <w:pPr>
        <w:spacing w:after="80"/>
      </w:pPr>
      <w:r>
        <w:rPr>
          <w:rFonts w:ascii="Avenir" w:cs="Avenir" w:eastAsia="Avenir" w:hAnsi="Avenir"/>
          <w:sz w:val="22"/>
          <w:szCs w:val="22"/>
        </w:rPr>
        <w:t xml:space="preserve">Authorised Signatory</w:t>
      </w:r>
    </w:p>
    <w:p>
      <w:pPr>
        <w:spacing w:after="80"/>
      </w:pPr>
      <w:r>
        <w:rPr>
          <w:rFonts w:ascii="Avenir" w:cs="Avenir" w:eastAsia="Avenir" w:hAnsi="Avenir"/>
          <w:sz w:val="20"/>
          <w:szCs w:val="20"/>
        </w:rPr>
        <w:t xml:space="preserve">Date: 2026-10-04</w:t>
      </w:r>
    </w:p>
    <w:sectPr>
      <w:headerReference w:type="default" r:id="rId7"/>
      <w:footerReference w:type="default" r:id="rId8"/>
      <w:pgSz w:w="11906" w:h="16838" w:orient="portrait"/>
      <w:pgMar w:top="1700" w:right="1300" w:bottom="17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60" w:before="60"/>
      <w:jc w:val="center"/>
    </w:pPr>
    <w:r>
      <w:rPr>
        <w:rFonts w:ascii="Avenir" w:cs="Avenir" w:eastAsia="Avenir" w:hAnsi="Avenir"/>
        <w:color w:val="555555"/>
        <w:sz w:val="14"/>
        <w:szCs w:val="14"/>
      </w:rPr>
      <w:t xml:space="preserve">Carter &amp; Associates | QC-Fresh Pty Ltd | ABN 92 095 191 816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rHeight w:val="240" w:hRule="exact"/>
      </w:trPr>
      <w:tc>
        <w:tcPr>
          <w:tcW w:type="dxa" w:w="9026"/>
          <w:tcBorders>
            <w:top w:val="none" w:color="FFFFFF" w:sz="0"/>
            <w:left w:val="none" w:color="FFFFFF" w:sz="0"/>
            <w:bottom w:val="none" w:color="FFFFFF" w:sz="0"/>
            <w:right w:val="none" w:color="FFFFFF" w:sz="0"/>
          </w:tcBorders>
          <w:shd w:fill="016D39" w:val="clear"/>
          <w:tcMar>
            <w:top w:type="dxa" w:w="0"/>
            <w:left w:type="dxa" w:w="0"/>
            <w:bottom w:type="dxa" w:w="0"/>
            <w:right w:type="dxa" w:w="0"/>
          </w:tcMar>
        </w:tcPr>
        <w:p>
          <w: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trHeight w:val="240" w:hRule="exact"/>
      </w:trPr>
      <w:tc>
        <w:tcPr>
          <w:tcW w:type="dxa" w:w="9026"/>
          <w:tcBorders>
            <w:top w:val="none" w:color="FFFFFF" w:sz="0"/>
            <w:left w:val="none" w:color="FFFFFF" w:sz="0"/>
            <w:bottom w:val="none" w:color="FFFFFF" w:sz="0"/>
            <w:right w:val="none" w:color="FFFFFF" w:sz="0"/>
          </w:tcBorders>
          <w:shd w:fill="016D39" w:val="clear"/>
          <w:tcMar>
            <w:top w:type="dxa" w:w="0"/>
            <w:left w:type="dxa" w:w="0"/>
            <w:bottom w:type="dxa" w:w="0"/>
            <w:right w:type="dxa" w:w="0"/>
          </w:tcMar>
        </w:tcPr>
        <w:p>
          <w:r>
            <w:t xml:space="preserve"/>
          </w:r>
        </w:p>
      </w:tc>
    </w:tr>
  </w:tbl>
  <w:p>
    <w:pPr>
      <w:spacing w:after="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00"/>
      <w:gridCol w:w="4526"/>
    </w:tblGrid>
    <w:tr>
      <w:tc>
        <w:tcPr>
          <w:tcW w:type="dxa" w:w="4500"/>
          <w:tcBorders>
            <w:top w:val="none" w:color="FFFFFF" w:sz="0"/>
            <w:left w:val="none" w:color="FFFFFF" w:sz="0"/>
            <w:bottom w:val="none" w:color="FFFFFF" w:sz="0"/>
            <w:right w:val="none" w:color="FFFFFF" w:sz="0"/>
          </w:tcBorders>
          <w:tcMar>
            <w:top w:type="dxa" w:w="80"/>
            <w:left w:type="dxa" w:w="0"/>
            <w:bottom w:type="dxa" w:w="80"/>
            <w:right w:type="dxa" w:w="80"/>
          </w:tcMar>
          <w:vAlign w:val="center"/>
        </w:tcPr>
        <w:p>
          <w:r>
            <w:drawing>
              <wp:inline distT="0" distB="0" distL="0" distR="0">
                <wp:extent cx="2095500" cy="409575"/>
                <wp:effectExtent t="0" r="0" b="0" l="0"/>
                <wp:docPr id="1" name="Logo" descr="Carter &amp; Associates logo" title="Carter &amp; Associ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095500" cy="409575"/>
                        </a:xfrm>
                        <a:prstGeom prst="rect">
                          <a:avLst/>
                        </a:prstGeom>
                      </pic:spPr>
                    </pic:pic>
                  </a:graphicData>
                </a:graphic>
              </wp:inline>
            </w:drawing>
          </w:r>
        </w:p>
      </w:tc>
      <w:tc>
        <w:tcPr>
          <w:tcW w:type="dxa" w:w="4526"/>
          <w:tcBorders>
            <w:top w:val="none" w:color="FFFFFF" w:sz="0"/>
            <w:left w:val="none" w:color="FFFFFF" w:sz="0"/>
            <w:bottom w:val="none" w:color="FFFFFF" w:sz="0"/>
            <w:right w:val="none" w:color="FFFFFF" w:sz="0"/>
          </w:tcBorders>
          <w:tcMar>
            <w:top w:type="dxa" w:w="80"/>
            <w:left w:type="dxa" w:w="80"/>
            <w:bottom w:type="dxa" w:w="80"/>
            <w:right w:type="dxa" w:w="0"/>
          </w:tcMar>
          <w:vAlign w:val="center"/>
        </w:tcPr>
        <w:p>
          <w:pPr>
            <w:jc w:val="right"/>
          </w:pPr>
          <w:r>
            <w:rPr>
              <w:rFonts w:ascii="Avenir" w:cs="Avenir" w:eastAsia="Avenir" w:hAnsi="Avenir"/>
              <w:sz w:val="18"/>
              <w:szCs w:val="18"/>
            </w:rPr>
            <w:t xml:space="preserve"/>
          </w:r>
        </w:p>
        <w:p>
          <w:pPr>
            <w:jc w:val="right"/>
          </w:pPr>
          <w:r>
            <w:rPr>
              <w:rFonts w:ascii="Avenir" w:cs="Avenir" w:eastAsia="Avenir" w:hAnsi="Avenir"/>
              <w:sz w:val="18"/>
              <w:szCs w:val="18"/>
            </w:rPr>
            <w:t xml:space="preserve">Sydney • Brisbane</w:t>
          </w:r>
        </w:p>
        <w:p>
          <w:pPr>
            <w:jc w:val="right"/>
          </w:pPr>
          <w:r>
            <w:rPr>
              <w:rFonts w:ascii="Avenir" w:cs="Avenir" w:eastAsia="Avenir" w:hAnsi="Avenir"/>
              <w:sz w:val="18"/>
              <w:szCs w:val="18"/>
            </w:rPr>
            <w:t xml:space="preserve">exports@carterandassoc.com.au</w:t>
          </w:r>
        </w:p>
        <w:p>
          <w:pPr>
            <w:jc w:val="right"/>
          </w:pPr>
          <w:r>
            <w:rPr>
              <w:rFonts w:ascii="Avenir" w:cs="Avenir" w:eastAsia="Avenir" w:hAnsi="Avenir"/>
              <w:color w:val="016D39"/>
              <w:sz w:val="18"/>
              <w:szCs w:val="18"/>
            </w:rPr>
            <w:t xml:space="preserve">carterandassoc.com.au</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venir" w:cs="Avenir" w:eastAsia="Avenir" w:hAnsi="Avenir"/>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venir" w:cs="Avenir" w:eastAsia="Avenir" w:hAnsi="Avenir"/>
      <w:b/>
      <w:bCs/>
      <w:color w:val="016D39"/>
      <w:sz w:val="36"/>
      <w:szCs w:val="36"/>
    </w:rPr>
  </w:style>
  <w:style w:type="paragraph" w:styleId="Heading2">
    <w:name w:val="Heading 2"/>
    <w:basedOn w:val="Normal"/>
    <w:next w:val="Normal"/>
    <w:qFormat/>
    <w:pPr>
      <w:spacing w:after="120" w:before="240"/>
      <w:outlineLvl w:val="1"/>
    </w:pPr>
    <w:rPr>
      <w:rFonts w:ascii="Avenir" w:cs="Avenir" w:eastAsia="Avenir" w:hAnsi="Avenir"/>
      <w:b/>
      <w:bCs/>
      <w:color w:val="000000"/>
      <w:sz w:val="28"/>
      <w:szCs w:val="28"/>
    </w:rPr>
  </w:style>
  <w:style w:type="paragraph" w:styleId="Heading3">
    <w:name w:val="Heading 3"/>
    <w:basedOn w:val="Normal"/>
    <w:next w:val="Normal"/>
    <w:qFormat/>
    <w:pPr>
      <w:spacing w:after="100" w:before="200"/>
      <w:outlineLvl w:val="2"/>
    </w:pPr>
    <w:rPr>
      <w:rFonts w:ascii="Avenir" w:cs="Avenir" w:eastAsia="Avenir" w:hAnsi="Avenir"/>
      <w:b/>
      <w:b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4c0178b84422f3237e94848ca371c160bb82a5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2026-05-07T08:47:11.772Z</dcterms:created>
  <dcterms:modified xsi:type="dcterms:W3CDTF">2026-05-07T08:47:11.772Z</dcterms:modified>
</cp:coreProperties>
</file>

<file path=docProps/custom.xml><?xml version="1.0" encoding="utf-8"?>
<Properties xmlns="http://schemas.openxmlformats.org/officeDocument/2006/custom-properties" xmlns:vt="http://schemas.openxmlformats.org/officeDocument/2006/docPropsVTypes"/>
</file>