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Purchase Order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Number (= Trade Number)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1038328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 — ABN 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Supplier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Chislett Farms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833 Kenley Road, Kenley VIC 3597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Delivery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MODE Logistics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Delivery 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Warehouse 1, 70-74 Sky Road, Melbourne Airport VIC 3045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Required Delivery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As soon as possible: please reply with your earliest delivery date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20,160.00 kg net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Gross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22,400.00 kg gross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Send your invoice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 and carterandassoc@obsidianadvisory.com.au, quoting purchase order 1038328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Goods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416"/>
        <w:gridCol w:w="960"/>
        <w:gridCol w:w="700"/>
        <w:gridCol w:w="800"/>
        <w:gridCol w:w="700"/>
        <w:gridCol w:w="1350"/>
        <w:gridCol w:w="17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41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Variety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Size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 Price (AUD)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(AUD)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241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Afourer mandarin, composite grade, carton 9 kg net and 10 kg gross: 2,240 cartons, a full 40-foot container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2,240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Carton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13.50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30,240.00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</w:t>
            </w:r>
          </w:p>
        </w:tc>
        <w:tc>
          <w:tcPr>
            <w:tcW w:type="dxa" w:w="241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Transport from the farm to MODE Logistics, as advised by Chislett Farms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2,240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Carton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1.17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2,620.80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/>
        <w:jc w:val="right"/>
      </w:pPr>
      <w:r>
        <w:rPr>
          <w:rFonts w:ascii="Avenir" w:cs="Avenir" w:eastAsia="Avenir" w:hAnsi="Avenir"/>
          <w:b/>
          <w:bCs/>
          <w:sz w:val="24"/>
          <w:szCs w:val="24"/>
        </w:rPr>
        <w:t xml:space="preserve">PO Total: AUD 32,860.80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CHEP Pallet Transfer — REQUIRED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Transfer CHEP balance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Vision International Logistics (the freight forwarder receiving these goods)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CHEP Account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Vision International to advise on delivery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Date of dispatch from your premises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0"/>
          <w:szCs w:val="20"/>
        </w:rPr>
        <w:t xml:space="preserve">Carter &amp; Associates does NOT receive CHEP transfers for this consignment. Please transfer pallet balance directly to the freight forwarder identified above on dispatch. Recording a CHEP transfer to Carter &amp; Associates will require reversal and may delay processing of your supplier invoice.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Quality Specifications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Class 1 minimum unless otherwise specified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Packaging: per product description above; new cartons; correct labelling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Temperature: pre-cooled to specification at packhouse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Documentation: dispatch weight to be recorded by grower or freight hub at receipt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b/>
          <w:bCs/>
          <w:color w:val="016D39"/>
          <w:sz w:val="24"/>
          <w:szCs w:val="24"/>
        </w:rPr>
        <w:t xml:space="preserve">IMPORTANT — Reference</w:t>
      </w:r>
    </w:p>
    <w:p>
      <w:pPr>
        <w:spacing w:after="4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Please ensure this Purchase Order Number is reflected in all subsequent references — supplier invoice, dispatch documentation, freight communications, and any quality reports. Invoices submitted without the PO Number will be quarantined and processing delayed.</w:t>
      </w:r>
    </w:p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Payment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>Payment terms: 30 days from delivery.</w:t>
      </w:r>
    </w:p>
    <w:p>
      <w:r>
        <w:rPr>
          <w:rFonts w:ascii="Avenir" w:cs="Avenir" w:eastAsia="Avenir" w:hAnsi="Avenir"/>
          <w:sz w:val="20"/>
          <w:szCs w:val="20"/>
        </w:rPr>
        <w:t>Payment is processed after stock receipt verification, freight cost reconciliation, and reconciliation against the PO. Payment dispatched to the bank account held in our supplier records.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2026-05-07T08:47:11.876Z</dcterms:created>
  <dcterms:modified xsi:type="dcterms:W3CDTF">2026-05-07T08:47:11.876Z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