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t xml:space="preserve"/>
      </w:r>
    </w:p>
    <w:p>
      <w:pPr>
        <w:pStyle w:val="Heading1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Purchase Order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PO Number (= Trade Number)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1038329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PO Date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2026-10-04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Buyer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Carter &amp; Associates (QC-Fresh Pty Ltd) — ABN 92 095 191 816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Currency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AUD</w:t>
            </w:r>
          </w:p>
        </w:tc>
      </w:tr>
    </w:tbl>
    <w:p>
      <w:pPr>
        <w:spacing w:after="16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Supplier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Legal Name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Chislett Farms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Address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833 Kenley Road, Kenley VIC 3597</w:t>
            </w:r>
          </w:p>
        </w:tc>
      </w:tr>
    </w:tbl>
    <w:p>
      <w:pPr>
        <w:spacing w:after="16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Delivery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Deliver To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MODE Logistics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Delivery Address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Warehouse 1, 70-74 Sky Road, Melbourne Airport VIC 3045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Required Delivery Date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As soon as possible: please reply with your earliest delivery date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Total Net Weight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20,160.00 kg net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Total Gross Weight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22,400.00 kg gross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Send your invoice to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exports@carterandassoc.com.au and carterandassoc@obsidianadvisory.com.au, quoting purchase order 1038329</w:t>
            </w:r>
          </w:p>
        </w:tc>
      </w:tr>
    </w:tbl>
    <w:p>
      <w:pPr>
        <w:spacing w:after="16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Goods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"/>
        <w:gridCol w:w="2276"/>
        <w:gridCol w:w="960"/>
        <w:gridCol w:w="660"/>
        <w:gridCol w:w="800"/>
        <w:gridCol w:w="880"/>
        <w:gridCol w:w="1350"/>
        <w:gridCol w:w="1700"/>
      </w:tblGrid>
      <w:tr>
        <w:trPr>
          <w:tblHeader/>
        </w:trPr>
        <w:tc>
          <w:tcPr>
            <w:tcW w:type="dxa" w:w="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227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Product Description</w:t>
            </w:r>
          </w:p>
        </w:tc>
        <w:tc>
          <w:tcPr>
            <w:tcW w:type="dxa" w:w="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Variety</w:t>
            </w:r>
          </w:p>
        </w:tc>
        <w:tc>
          <w:tcPr>
            <w:tcW w:type="dxa" w:w="6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Size</w:t>
            </w:r>
          </w:p>
        </w:tc>
        <w:tc>
          <w:tcPr>
            <w:tcW w:type="dxa" w:w="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dxa" w:w="88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Unit</w:t>
            </w:r>
          </w:p>
        </w:tc>
        <w:tc>
          <w:tcPr>
            <w:tcW w:type="dxa" w:w="13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Unit Price (AUD)</w:t>
            </w:r>
          </w:p>
        </w:tc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Total (AUD)</w:t>
            </w:r>
          </w:p>
        </w:tc>
      </w:tr>
      <w:tr>
        <w:tc>
          <w:tcPr>
            <w:tcW w:type="dxa" w:w="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1</w:t>
            </w:r>
          </w:p>
        </w:tc>
        <w:tc>
          <w:tcPr>
            <w:tcW w:type="dxa" w:w="227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Afourer mandarin, composite grade, carton 9 kg net and 10 kg gross: 2,240 cartons, a full 40-foot container</w:t>
            </w:r>
          </w:p>
        </w:tc>
        <w:tc>
          <w:tcPr>
            <w:tcW w:type="dxa" w:w="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  <w:tc>
          <w:tcPr>
            <w:tcW w:type="dxa" w:w="6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  <w:tc>
          <w:tcPr>
            <w:tcW w:type="dxa" w:w="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2,240</w:t>
            </w:r>
          </w:p>
        </w:tc>
        <w:tc>
          <w:tcPr>
            <w:tcW w:type="dxa" w:w="88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Carton</w:t>
            </w:r>
          </w:p>
        </w:tc>
        <w:tc>
          <w:tcPr>
            <w:tcW w:type="dxa" w:w="13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AUD 13.50</w:t>
            </w:r>
          </w:p>
        </w:tc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AUD 30,240.00</w:t>
            </w:r>
          </w:p>
        </w:tc>
      </w:tr>
      <w:tr>
        <w:tc>
          <w:tcPr>
            <w:tcW w:type="dxa" w:w="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2</w:t>
            </w:r>
          </w:p>
        </w:tc>
        <w:tc>
          <w:tcPr>
            <w:tcW w:type="dxa" w:w="227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Transport from the farm to MODE Logistics, as advised by Chislett Farms</w:t>
            </w:r>
          </w:p>
        </w:tc>
        <w:tc>
          <w:tcPr>
            <w:tcW w:type="dxa" w:w="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  <w:tc>
          <w:tcPr>
            <w:tcW w:type="dxa" w:w="6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  <w:tc>
          <w:tcPr>
            <w:tcW w:type="dxa" w:w="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2,240</w:t>
            </w:r>
          </w:p>
        </w:tc>
        <w:tc>
          <w:tcPr>
            <w:tcW w:type="dxa" w:w="88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Carton</w:t>
            </w:r>
          </w:p>
        </w:tc>
        <w:tc>
          <w:tcPr>
            <w:tcW w:type="dxa" w:w="13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AUD 1.17</w:t>
            </w:r>
          </w:p>
        </w:tc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AUD 2,620.80</w:t>
            </w:r>
          </w:p>
        </w:tc>
      </w:tr>
    </w:tbl>
    <w:p>
      <w:pPr>
        <w:spacing w:after="120"/>
      </w:pPr>
      <w:r>
        <w:t xml:space="preserve"/>
      </w:r>
    </w:p>
    <w:p>
      <w:pPr>
        <w:spacing w:after="80"/>
        <w:jc w:val="right"/>
      </w:pPr>
      <w:r>
        <w:rPr>
          <w:rFonts w:ascii="Avenir" w:cs="Avenir" w:eastAsia="Avenir" w:hAnsi="Avenir"/>
          <w:b/>
          <w:bCs/>
          <w:sz w:val="24"/>
          <w:szCs w:val="24"/>
        </w:rPr>
        <w:t xml:space="preserve">PO Total: AUD 32,860.80</w:t>
      </w:r>
    </w:p>
    <w:p>
      <w:pPr>
        <w:spacing w:after="20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CHEP Pallet Transfer — REQUIRED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Transfer CHEP balance to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Vision International Logistics (the freight forwarder receiving these goods)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CHEP Account Number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Vision International to advise on delivery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Effective Date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Date of dispatch from your premises</w:t>
            </w:r>
          </w:p>
        </w:tc>
      </w:tr>
    </w:tbl>
    <w:p>
      <w:pPr>
        <w:spacing w:after="80"/>
      </w:pPr>
      <w:r>
        <w:t xml:space="preserve"/>
      </w:r>
    </w:p>
    <w:p>
      <w:pPr>
        <w:spacing w:after="80"/>
      </w:pPr>
      <w:r>
        <w:rPr>
          <w:rFonts w:ascii="Avenir" w:cs="Avenir" w:eastAsia="Avenir" w:hAnsi="Avenir"/>
          <w:i/>
          <w:iCs/>
          <w:sz w:val="20"/>
          <w:szCs w:val="20"/>
        </w:rPr>
        <w:t xml:space="preserve">Carter &amp; Associates does NOT receive CHEP transfers for this consignment. Please transfer pallet balance directly to the freight forwarder identified above on dispatch. Recording a CHEP transfer to Carter &amp; Associates will require reversal and may delay processing of your supplier invoice.</w:t>
      </w:r>
    </w:p>
    <w:p>
      <w:pPr>
        <w:spacing w:after="20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Quality Specifications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venir" w:cs="Avenir" w:eastAsia="Avenir" w:hAnsi="Avenir"/>
          <w:sz w:val="22"/>
          <w:szCs w:val="22"/>
        </w:rPr>
        <w:t xml:space="preserve">Class 1 minimum unless otherwise specified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venir" w:cs="Avenir" w:eastAsia="Avenir" w:hAnsi="Avenir"/>
          <w:sz w:val="22"/>
          <w:szCs w:val="22"/>
        </w:rPr>
        <w:t xml:space="preserve">Packaging: per product description above; new cartons; correct labelling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venir" w:cs="Avenir" w:eastAsia="Avenir" w:hAnsi="Avenir"/>
          <w:sz w:val="22"/>
          <w:szCs w:val="22"/>
        </w:rPr>
        <w:t xml:space="preserve">Temperature: pre-cooled to specification at packhouse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venir" w:cs="Avenir" w:eastAsia="Avenir" w:hAnsi="Avenir"/>
          <w:sz w:val="22"/>
          <w:szCs w:val="22"/>
        </w:rPr>
        <w:t xml:space="preserve">Documentation: dispatch weight to be recorded by grower or freight hub at receipt</w:t>
      </w:r>
    </w:p>
    <w:p>
      <w:pPr>
        <w:spacing w:after="200"/>
      </w:pPr>
      <w:r>
        <w:t xml:space="preserve"/>
      </w:r>
    </w:p>
    <w:p>
      <w:pPr>
        <w:spacing w:after="80"/>
      </w:pPr>
      <w:r>
        <w:rPr>
          <w:rFonts w:ascii="Avenir" w:cs="Avenir" w:eastAsia="Avenir" w:hAnsi="Avenir"/>
          <w:b/>
          <w:bCs/>
          <w:color w:val="016D39"/>
          <w:sz w:val="24"/>
          <w:szCs w:val="24"/>
        </w:rPr>
        <w:t xml:space="preserve">IMPORTANT — Reference</w:t>
      </w:r>
    </w:p>
    <w:p>
      <w:pPr>
        <w:spacing w:after="40"/>
      </w:pPr>
      <w:r>
        <w:t xml:space="preserve"/>
      </w:r>
    </w:p>
    <w:p>
      <w:pPr>
        <w:spacing w:after="80"/>
      </w:pPr>
      <w:r>
        <w:rPr>
          <w:rFonts w:ascii="Avenir" w:cs="Avenir" w:eastAsia="Avenir" w:hAnsi="Avenir"/>
          <w:sz w:val="20"/>
          <w:szCs w:val="20"/>
        </w:rPr>
        <w:t xml:space="preserve">Please ensure this Purchase Order Number is reflected in all subsequent references — supplier invoice, dispatch documentation, freight communications, and any quality reports. Invoices submitted without the PO Number will be quarantined and processing delayed.</w:t>
      </w:r>
    </w:p>
    <w:p>
      <w:pPr>
        <w:spacing w:after="16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Payment</w:t>
      </w:r>
    </w:p>
    <w:p>
      <w:pPr>
        <w:spacing w:after="80"/>
      </w:pPr>
      <w:r>
        <w:rPr>
          <w:rFonts w:ascii="Avenir" w:cs="Avenir" w:eastAsia="Avenir" w:hAnsi="Avenir"/>
          <w:sz w:val="20"/>
          <w:szCs w:val="20"/>
        </w:rPr>
        <w:t>Payment terms: 30 days from delivery.</w:t>
      </w:r>
    </w:p>
    <w:p>
      <w:r>
        <w:rPr>
          <w:rFonts w:ascii="Avenir" w:cs="Avenir" w:eastAsia="Avenir" w:hAnsi="Avenir"/>
          <w:sz w:val="20"/>
          <w:szCs w:val="20"/>
        </w:rPr>
        <w:t>Payment is processed after stock receipt verification, freight cost reconciliation, and reconciliation against the PO. Payment dispatched to the bank account held in our supplier records.</w:t>
      </w:r>
    </w:p>
    <w:p>
      <w:pPr>
        <w:spacing w:after="200"/>
      </w:pPr>
      <w:r>
        <w:t xml:space="preserve"/>
      </w:r>
    </w:p>
    <w:p>
      <w:pPr>
        <w:spacing w:after="80"/>
      </w:pPr>
      <w:r>
        <w:rPr>
          <w:rFonts w:ascii="Avenir" w:cs="Avenir" w:eastAsia="Avenir" w:hAnsi="Avenir"/>
          <w:i/>
          <w:iCs/>
          <w:sz w:val="22"/>
          <w:szCs w:val="22"/>
        </w:rPr>
        <w:t xml:space="preserve">For and on behalf of Carter &amp; Associates</w:t>
      </w:r>
    </w:p>
    <w:p>
      <w:pPr>
        <w:spacing w:after="160"/>
      </w:pPr>
      <w:r>
        <w:t xml:space="preserve"/>
      </w:r>
    </w:p>
    <w:p>
      <w:pPr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_____________________________</w:t>
      </w:r>
    </w:p>
    <w:p>
      <w:pPr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Authorised Signatory</w:t>
      </w:r>
    </w:p>
    <w:p>
      <w:pPr>
        <w:spacing w:after="80"/>
      </w:pPr>
      <w:r>
        <w:rPr>
          <w:rFonts w:ascii="Avenir" w:cs="Avenir" w:eastAsia="Avenir" w:hAnsi="Avenir"/>
          <w:sz w:val="20"/>
          <w:szCs w:val="20"/>
        </w:rPr>
        <w:t xml:space="preserve">Date: 2026-10-04</w:t>
      </w:r>
    </w:p>
    <w:sectPr>
      <w:headerReference w:type="default" r:id="rId7"/>
      <w:footerReference w:type="default" r:id="rId8"/>
      <w:pgSz w:w="11906" w:h="16838" w:orient="portrait"/>
      <w:pgMar w:top="1700" w:right="1300" w:bottom="17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60" w:before="60"/>
      <w:jc w:val="center"/>
    </w:pPr>
    <w:r>
      <w:rPr>
        <w:rFonts w:ascii="Avenir" w:cs="Avenir" w:eastAsia="Avenir" w:hAnsi="Avenir"/>
        <w:color w:val="555555"/>
        <w:sz w:val="14"/>
        <w:szCs w:val="14"/>
      </w:rPr>
      <w:t xml:space="preserve">Carter &amp; Associates | QC-Fresh Pty Ltd | ABN 92 095 191 816</w:t>
    </w:r>
  </w:p>
  <w:tbl>
    <w:tblPr>
      <w:tblW w:type="dxa" w:w="9026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9026"/>
    </w:tblGrid>
    <w:tr>
      <w:trPr>
        <w:trHeight w:val="240" w:hRule="exact"/>
      </w:trPr>
      <w:tc>
        <w:tcPr>
          <w:tcW w:type="dxa" w:w="9026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016D39" w:val="clear"/>
          <w:tcMar>
            <w:top w:type="dxa" w:w="0"/>
            <w:left w:type="dxa" w:w="0"/>
            <w:bottom w:type="dxa" w:w="0"/>
            <w:right w:type="dxa" w:w="0"/>
          </w:tcMar>
        </w:tcPr>
        <w:p>
          <w:r>
            <w:t xml:space="preserve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026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9026"/>
    </w:tblGrid>
    <w:tr>
      <w:trPr>
        <w:trHeight w:val="240" w:hRule="exact"/>
      </w:trPr>
      <w:tc>
        <w:tcPr>
          <w:tcW w:type="dxa" w:w="9026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016D39" w:val="clear"/>
          <w:tcMar>
            <w:top w:type="dxa" w:w="0"/>
            <w:left w:type="dxa" w:w="0"/>
            <w:bottom w:type="dxa" w:w="0"/>
            <w:right w:type="dxa" w:w="0"/>
          </w:tcMar>
        </w:tcPr>
        <w:p>
          <w:r>
            <w:t xml:space="preserve"/>
          </w:r>
        </w:p>
      </w:tc>
    </w:tr>
  </w:tbl>
  <w:p>
    <w:pPr>
      <w:spacing w:after="0"/>
    </w:pPr>
    <w:r>
      <w:t xml:space="preserve"/>
    </w:r>
  </w:p>
  <w:tbl>
    <w:tblPr>
      <w:tblW w:type="dxa" w:w="9026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4500"/>
      <w:gridCol w:w="4526"/>
    </w:tblGrid>
    <w:tr>
      <w:tc>
        <w:tcPr>
          <w:tcW w:type="dxa" w:w="4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80"/>
            <w:left w:type="dxa" w:w="0"/>
            <w:bottom w:type="dxa" w:w="80"/>
            <w:right w:type="dxa" w:w="80"/>
          </w:tcMar>
          <w:vAlign w:val="center"/>
        </w:tcPr>
        <w:p>
          <w:r>
            <w:drawing>
              <wp:inline distT="0" distB="0" distL="0" distR="0">
                <wp:extent cx="2095500" cy="409575"/>
                <wp:effectExtent t="0" r="0" b="0" l="0"/>
                <wp:docPr id="1" name="Logo" descr="Carter &amp; Associates logo" title="Carter &amp; Associate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95500" cy="4095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526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80"/>
            <w:left w:type="dxa" w:w="80"/>
            <w:bottom w:type="dxa" w:w="80"/>
            <w:right w:type="dxa" w:w="0"/>
          </w:tcMar>
          <w:vAlign w:val="center"/>
        </w:tcPr>
        <w:p>
          <w:pPr>
            <w:jc w:val="right"/>
          </w:pPr>
          <w:r>
            <w:rPr>
              <w:rFonts w:ascii="Avenir" w:cs="Avenir" w:eastAsia="Avenir" w:hAnsi="Avenir"/>
              <w:sz w:val="18"/>
              <w:szCs w:val="18"/>
            </w:rPr>
            <w:t xml:space="preserve"/>
          </w:r>
        </w:p>
        <w:p>
          <w:pPr>
            <w:jc w:val="right"/>
          </w:pPr>
          <w:r>
            <w:rPr>
              <w:rFonts w:ascii="Avenir" w:cs="Avenir" w:eastAsia="Avenir" w:hAnsi="Avenir"/>
              <w:sz w:val="18"/>
              <w:szCs w:val="18"/>
            </w:rPr>
            <w:t xml:space="preserve">Sydney • Brisbane</w:t>
          </w:r>
        </w:p>
        <w:p>
          <w:pPr>
            <w:jc w:val="right"/>
          </w:pPr>
          <w:r>
            <w:rPr>
              <w:rFonts w:ascii="Avenir" w:cs="Avenir" w:eastAsia="Avenir" w:hAnsi="Avenir"/>
              <w:sz w:val="18"/>
              <w:szCs w:val="18"/>
            </w:rPr>
            <w:t xml:space="preserve">exports@carterandassoc.com.au</w:t>
          </w:r>
        </w:p>
        <w:p>
          <w:pPr>
            <w:jc w:val="right"/>
          </w:pPr>
          <w:r>
            <w:rPr>
              <w:rFonts w:ascii="Avenir" w:cs="Avenir" w:eastAsia="Avenir" w:hAnsi="Avenir"/>
              <w:color w:val="016D39"/>
              <w:sz w:val="18"/>
              <w:szCs w:val="18"/>
            </w:rPr>
            <w:t xml:space="preserve">carterandassoc.com.au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venir" w:cs="Avenir" w:eastAsia="Avenir" w:hAnsi="Avenir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80" w:before="360"/>
      <w:outlineLvl w:val="0"/>
    </w:pPr>
    <w:rPr>
      <w:rFonts w:ascii="Avenir" w:cs="Avenir" w:eastAsia="Avenir" w:hAnsi="Avenir"/>
      <w:b/>
      <w:bCs/>
      <w:color w:val="016D3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Avenir" w:cs="Avenir" w:eastAsia="Avenir" w:hAnsi="Avenir"/>
      <w:b/>
      <w:bCs/>
      <w:color w:val="000000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00" w:before="200"/>
      <w:outlineLvl w:val="2"/>
    </w:pPr>
    <w:rPr>
      <w:rFonts w:ascii="Avenir" w:cs="Avenir" w:eastAsia="Avenir" w:hAnsi="Avenir"/>
      <w:b/>
      <w:bCs/>
      <w:color w:val="000000"/>
      <w:sz w:val="24"/>
      <w:szCs w:val="24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header1.xml.rels><?xml version='1.0' encoding='UTF-8' standalone='yes'?>
<Relationships xmlns="http://schemas.openxmlformats.org/package/2006/relationships"><Relationship Id="rId0" Type="http://schemas.openxmlformats.org/officeDocument/2006/relationships/image" Target="media/84c0178b84422f3237e94848ca371c160bb82a5c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2026-05-07T08:47:11.876Z</dcterms:created>
  <dcterms:modified xsi:type="dcterms:W3CDTF">2026-05-07T08:47:11.876Z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