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Draft Purchase Order — not fit to send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Number (= Trade Number)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1038317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2026-10-04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Buyer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Carter &amp; Associates (QC-Fresh Pty Ltd) — ABN 92 095 191 816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Supplier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Delivery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Delivery 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Required Delivery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Gross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Send your invoice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exports@carterandassoc.com.au and carterandassoc@obsidianadvisory.com.au, quoting purchase order 1038317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Goods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276"/>
        <w:gridCol w:w="960"/>
        <w:gridCol w:w="660"/>
        <w:gridCol w:w="800"/>
        <w:gridCol w:w="880"/>
        <w:gridCol w:w="1350"/>
        <w:gridCol w:w="17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Variety</w:t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Size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 Price (AUD)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(AUD)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Late Lane Navel Class 1 56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252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Late Lane Navel Class 1 72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630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3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Late Lane Navel Class 1 88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378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spacing w:after="80"/>
        <w:jc w:val="right"/>
      </w:pPr>
      <w:r>
        <w:rPr>
          <w:rFonts w:ascii="Avenir" w:cs="Avenir" w:eastAsia="Avenir" w:hAnsi="Avenir"/>
          <w:b/>
          <w:bCs/>
          <w:sz w:val="24"/>
          <w:szCs w:val="24"/>
        </w:rPr>
        <w:t xml:space="preserve">PO Total: </w:t>
      </w:r>
    </w:p>
    <w:p>
      <w:pPr>
        <w:spacing w:after="200"/>
      </w:pPr>
      <w:r>
        <w:t xml:space="preserve"/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Quality Specifications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Class 1 minimum unless otherwise specified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Packaging: per product description above; new cartons; correct labelling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Temperature: pre-cooled to specification at packhouse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Documentation: dispatch weight to be recorded by grower or freight hub at receipt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b/>
          <w:bCs/>
          <w:color w:val="016D39"/>
          <w:sz w:val="24"/>
          <w:szCs w:val="24"/>
        </w:rPr>
        <w:t xml:space="preserve">IMPORTANT — Reference</w:t>
      </w:r>
    </w:p>
    <w:p>
      <w:pPr>
        <w:spacing w:after="4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Please ensure this Purchase Order Number is reflected in all subsequent references — supplier invoice, dispatch documentation, freight communications, and any quality reports. Invoices submitted without the PO Number will be quarantined and processing delayed.</w:t>
      </w:r>
    </w:p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Payment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>Payment terms: 30 days from delivery.</w:t>
      </w:r>
    </w:p>
    <w:p>
      <w:r>
        <w:rPr>
          <w:rFonts w:ascii="Avenir" w:cs="Avenir" w:eastAsia="Avenir" w:hAnsi="Avenir"/>
          <w:sz w:val="20"/>
          <w:szCs w:val="20"/>
        </w:rPr>
        <w:t>Payment is processed after stock receipt verification, freight cost reconciliation, and reconciliation against the PO. Payment dispatched to the bank account held in our supplier records.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2026-10-04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2026-05-07T08:47:11.876Z</dcterms:created>
  <dcterms:modified xsi:type="dcterms:W3CDTF">2026-05-07T08:47:11.876Z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