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t xml:space="preserve"/>
      </w:r>
    </w:p>
    <w:p>
      <w:pPr>
        <w:pStyle w:val="Heading1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Draft Purchase Order — not fit to send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PO Number (= Trade Number)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1038338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PO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2026-10-14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Buyer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Carter &amp; Associates (QC-Fresh Pty Ltd) — ABN 92 095 191 816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Supplier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Legal 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GROWER CONNECT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 Hopewell Street, Canning Vale WA 6155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Delivery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Deliver To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Delivery 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Required Delivery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Total Net Weight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720.00 kg net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Total Gross Weight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960.00 kg gross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Send your invoice to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exports@carterandassoc.com.au and carterandassoc@obsidianadvisory.com.au, quoting purchase order 1038338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Goods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276"/>
        <w:gridCol w:w="960"/>
        <w:gridCol w:w="660"/>
        <w:gridCol w:w="800"/>
        <w:gridCol w:w="880"/>
        <w:gridCol w:w="1350"/>
        <w:gridCol w:w="1700"/>
      </w:tblGrid>
      <w:tr>
        <w:trPr>
          <w:tblHeader/>
        </w:trP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27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Product Description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Variety</w:t>
            </w:r>
          </w:p>
        </w:tc>
        <w:tc>
          <w:tcPr>
            <w:tcW w:type="dxa" w:w="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Size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88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 Price (AUD)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(AUD)</w:t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</w:t>
            </w:r>
          </w:p>
        </w:tc>
        <w:tc>
          <w:tcPr>
            <w:tcW w:type="dxa" w:w="227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Strawberry (AUD 2.20 per punnet, 15 punnets a tray, AUD 33.00 a tray)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192</w:t>
            </w:r>
          </w:p>
        </w:tc>
        <w:tc>
          <w:tcPr>
            <w:tcW w:type="dxa" w:w="88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TRAY</w:t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33.00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6,336.00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80"/>
        <w:jc w:val="right"/>
      </w:pPr>
      <w:r>
        <w:rPr>
          <w:rFonts w:ascii="Avenir" w:cs="Avenir" w:eastAsia="Avenir" w:hAnsi="Avenir"/>
          <w:b/>
          <w:bCs/>
          <w:sz w:val="24"/>
          <w:szCs w:val="24"/>
        </w:rPr>
        <w:t xml:space="preserve">PO Total: AUD 6,336.00</w:t>
      </w:r>
    </w:p>
    <w:p>
      <w:pPr>
        <w:spacing w:after="200"/>
      </w:pPr>
      <w:r>
        <w:t xml:space="preserve"/>
      </w:r>
    </w:p>
    <w:p>
      <w:pPr>
        <w:spacing w:after="20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Quality Specifications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Class 1 minimum unless otherwise specified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Packaging: per product description above; new cartons; correct labelling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Temperature: pre-cooled to specification at packhouse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Documentation: dispatch weight to be recorded by grower or freight hub at receipt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b/>
          <w:bCs/>
          <w:color w:val="016D39"/>
          <w:sz w:val="24"/>
          <w:szCs w:val="24"/>
        </w:rPr>
        <w:t xml:space="preserve">IMPORTANT — Reference</w:t>
      </w:r>
    </w:p>
    <w:p>
      <w:pPr>
        <w:spacing w:after="4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Please ensure this Purchase Order Number is reflected in all subsequent references — supplier invoice, dispatch documentation, freight communications, and any quality reports. Invoices submitted without the PO Number will be quarantined and processing delayed.</w:t>
      </w:r>
    </w:p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Payment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>Payment terms: 30 days from delivery.</w:t>
      </w:r>
    </w:p>
    <w:p>
      <w:r>
        <w:rPr>
          <w:rFonts w:ascii="Avenir" w:cs="Avenir" w:eastAsia="Avenir" w:hAnsi="Avenir"/>
          <w:sz w:val="20"/>
          <w:szCs w:val="20"/>
        </w:rPr>
        <w:t>Payment is processed after stock receipt verification, freight cost reconciliation, and reconciliation against the PO. Payment dispatched to the bank account held in our supplier records.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sz w:val="22"/>
          <w:szCs w:val="22"/>
        </w:rPr>
        <w:t xml:space="preserve">For and on behalf of Carter &amp; Associates</w:t>
      </w:r>
    </w:p>
    <w:p>
      <w:pPr>
        <w:spacing w:after="1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_____________________________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Authorised Signatory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Date: 2026-10-14</w:t>
      </w:r>
    </w:p>
    <w:sectPr>
      <w:headerReference w:type="default" r:id="rId7"/>
      <w:footerReference w:type="default" r:id="rId8"/>
      <w:pgSz w:w="11906" w:h="16838" w:orient="portrait"/>
      <w:pgMar w:top="1700" w:right="1300" w:bottom="17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60"/>
      <w:jc w:val="center"/>
    </w:pPr>
    <w:r>
      <w:rPr>
        <w:rFonts w:ascii="Avenir" w:cs="Avenir" w:eastAsia="Avenir" w:hAnsi="Avenir"/>
        <w:color w:val="555555"/>
        <w:sz w:val="14"/>
        <w:szCs w:val="14"/>
      </w:rPr>
      <w:t xml:space="preserve">Carter &amp; Associates | QC-Fresh Pty Ltd | ABN 92 095 191 816</w:t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  <w:p>
    <w:pPr>
      <w:spacing w:after="0"/>
    </w:pPr>
    <w:r>
      <w:t xml:space="preserve"/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4500"/>
      <w:gridCol w:w="4526"/>
    </w:tblGrid>
    <w:tr>
      <w:tc>
        <w:tcPr>
          <w:tcW w:type="dxa" w:w="4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0"/>
            <w:bottom w:type="dxa" w:w="80"/>
            <w:right w:type="dxa" w:w="80"/>
          </w:tcMar>
          <w:vAlign w:val="center"/>
        </w:tcPr>
        <w:p>
          <w:r>
            <w:drawing>
              <wp:inline distT="0" distB="0" distL="0" distR="0">
                <wp:extent cx="2095500" cy="409575"/>
                <wp:effectExtent t="0" r="0" b="0" l="0"/>
                <wp:docPr id="1" name="Logo" descr="Carter &amp; Associates logo" title="Carter &amp; Associa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80"/>
            <w:bottom w:type="dxa" w:w="80"/>
            <w:right w:type="dxa" w:w="0"/>
          </w:tcMar>
          <w:vAlign w:val="center"/>
        </w:tcPr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/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Sydney • Brisbane</w:t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exports@carterandassoc.com.au</w:t>
          </w:r>
        </w:p>
        <w:p>
          <w:pPr>
            <w:jc w:val="right"/>
          </w:pPr>
          <w:r>
            <w:rPr>
              <w:rFonts w:ascii="Avenir" w:cs="Avenir" w:eastAsia="Avenir" w:hAnsi="Avenir"/>
              <w:color w:val="016D39"/>
              <w:sz w:val="18"/>
              <w:szCs w:val="18"/>
            </w:rPr>
            <w:t xml:space="preserve">carterandassoc.com.au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venir" w:cs="Avenir" w:eastAsia="Avenir" w:hAnsi="Aveni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Avenir" w:cs="Avenir" w:eastAsia="Avenir" w:hAnsi="Avenir"/>
      <w:b/>
      <w:bCs/>
      <w:color w:val="016D3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venir" w:cs="Avenir" w:eastAsia="Avenir" w:hAnsi="Avenir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venir" w:cs="Avenir" w:eastAsia="Avenir" w:hAnsi="Avenir"/>
      <w:b/>
      <w:bCs/>
      <w:color w:val="000000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84c0178b84422f3237e94848ca371c160bb82a5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2026-05-07T08:47:11.876Z</dcterms:created>
  <dcterms:modified xsi:type="dcterms:W3CDTF">2026-05-07T08:47:11.876Z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